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2A104F"/>
          <w:sz w:val="40"/>
        </w:rPr>
        <w:t>WISP AI Addendum</w:t>
      </w:r>
    </w:p>
    <w:p>
      <w:pPr>
        <w:spacing w:before="120" w:after="200"/>
        <w:ind w:left="144"/>
        <w:shd w:val="clear" w:fill="F4EFFF"/>
      </w:pPr>
      <w:r>
        <w:rPr>
          <w:b/>
        </w:rPr>
        <w:t xml:space="preserve">Make it yours. </w:t>
      </w:r>
      <w:r>
        <w:t>Replace [FIRM NAME] and every bracketed item with your firm's details, delete what does not apply, and add what your situation requires. Once you adapt it, this is your firm's document. This is a generic starting point, not legal advice; have your own counsel review it before adopting.</w:t>
      </w:r>
    </w:p>
    <w:p>
      <w:pPr>
        <w:spacing w:before="120" w:after="200"/>
        <w:ind w:left="144"/>
        <w:shd w:val="clear" w:fill="FBF4DF"/>
      </w:pPr>
      <w:r>
        <w:rPr>
          <w:b/>
        </w:rPr>
        <w:t>What this is.</w:t>
      </w:r>
      <w:r>
        <w:t xml:space="preserve"> An appendix that folds AI tools into your firm's </w:t>
      </w:r>
      <w:r>
        <w:rPr>
          <w:b/>
        </w:rPr>
        <w:t>Written Information Security Plan</w:t>
      </w:r>
      <w:r>
        <w:t xml:space="preserve"> (the program the </w:t>
      </w:r>
      <w:r>
        <w:rPr>
          <w:b/>
        </w:rPr>
        <w:t>FTC Safeguards Rule, 16 CFR Part 314</w:t>
      </w:r>
      <w:r>
        <w:t xml:space="preserve"> requires of tax/accounting firms, and that the IRS WISP, Pub 4557/5708, implements). It maps each AI obligation to the specific §314.4 element it satisfies, so an examiner sees AI is </w:t>
      </w:r>
      <w:r>
        <w:rPr>
          <w:i/>
        </w:rPr>
        <w:t>inside</w:t>
      </w:r>
      <w:r>
        <w:t xml:space="preserve"> your program, not bolted on. Attach this to your existing WISP. </w:t>
      </w:r>
      <w:r>
        <w:rPr>
          <w:b/>
        </w:rPr>
        <w:t>Replace every `[BRACKET]`; have counsel/your Qualified Individual review. Not legal advice.</w:t>
      </w:r>
      <w:r>
        <w:t xml:space="preserve"> Grounded in Regulatory Foundation §2.</w:t>
      </w:r>
    </w:p>
    <w:p>
      <w:pPr>
        <w:spacing w:after="140"/>
      </w:pPr>
      <w:r>
        <w:rPr>
          <w:b/>
        </w:rPr>
        <w:t>[FIRM NAME], WISP Appendix [X]: Artificial-Intelligence Tools</w:t>
      </w:r>
      <w:r>
        <w:t xml:space="preserve"> Effective </w:t>
      </w:r>
      <w:r>
        <w:rPr>
          <w:rFonts w:ascii="Consolas" w:hAnsi="Consolas"/>
          <w:sz w:val="21"/>
        </w:rPr>
        <w:t>[DATE]</w:t>
      </w:r>
      <w:r>
        <w:t xml:space="preserve"> · Qualified Individual: </w:t>
      </w:r>
      <w:r>
        <w:rPr>
          <w:rFonts w:ascii="Consolas" w:hAnsi="Consolas"/>
          <w:sz w:val="21"/>
        </w:rPr>
        <w:t>[NAME]</w:t>
      </w:r>
      <w:r>
        <w:t xml:space="preserve"> · Reviewed annually / on material change.</w:t>
      </w:r>
    </w:p>
    <w:p>
      <w:pPr>
        <w:spacing w:before="240" w:after="80"/>
      </w:pPr>
      <w:r>
        <w:rPr>
          <w:b/>
          <w:color w:val="4C1D95"/>
          <w:sz w:val="26"/>
        </w:rPr>
        <w:t>1. Scope</w:t>
      </w:r>
    </w:p>
    <w:p>
      <w:pPr>
        <w:spacing w:after="140"/>
      </w:pPr>
      <w:r>
        <w:t xml:space="preserve">This appendix governs any AI tool, generative AI (Claude, ChatGPT, Gemini, Copilot), tax-research AI, OCR/extraction, transcription, and AI features embedded in firm software, that may receive, process, or access </w:t>
      </w:r>
      <w:r>
        <w:rPr>
          <w:b/>
        </w:rPr>
        <w:t>customer information</w:t>
      </w:r>
      <w:r>
        <w:t xml:space="preserve"> as defined in the Safeguards Rule.</w:t>
      </w:r>
    </w:p>
    <w:p>
      <w:pPr>
        <w:spacing w:before="240" w:after="80"/>
      </w:pPr>
      <w:r>
        <w:rPr>
          <w:b/>
          <w:color w:val="4C1D95"/>
          <w:sz w:val="26"/>
        </w:rPr>
        <w:t>2. Controls, mapped to FTC Safeguards Rule §314.4</w:t>
      </w:r>
    </w:p>
    <w:tbl>
      <w:tblPr>
        <w:tblStyle w:val="LightGrid-Accent1"/>
        <w:tblW w:type="auto" w:w="0"/>
        <w:tblLook w:firstColumn="1" w:firstRow="1" w:lastColumn="0" w:lastRow="0" w:noHBand="0" w:noVBand="1" w:val="04A0"/>
      </w:tblPr>
      <w:tblGrid>
        <w:gridCol w:w="3120"/>
        <w:gridCol w:w="3120"/>
        <w:gridCol w:w="3120"/>
      </w:tblGrid>
      <w:tr>
        <w:tc>
          <w:tcPr>
            <w:tcW w:type="dxa" w:w="3120"/>
          </w:tcPr>
          <w:p>
            <w:r>
              <w:rPr>
                <w:b/>
              </w:rPr>
              <w:t>Control</w:t>
            </w:r>
          </w:p>
        </w:tc>
        <w:tc>
          <w:tcPr>
            <w:tcW w:type="dxa" w:w="3120"/>
          </w:tcPr>
          <w:p>
            <w:r>
              <w:rPr>
                <w:b/>
              </w:rPr>
              <w:t>What the firm does</w:t>
            </w:r>
          </w:p>
        </w:tc>
        <w:tc>
          <w:tcPr>
            <w:tcW w:type="dxa" w:w="3120"/>
          </w:tcPr>
          <w:p>
            <w:r>
              <w:rPr>
                <w:b/>
              </w:rPr>
              <w:t>§314.4 element</w:t>
            </w:r>
          </w:p>
        </w:tc>
      </w:tr>
      <w:tr>
        <w:tc>
          <w:tcPr>
            <w:tcW w:type="dxa" w:w="3120"/>
          </w:tcPr>
          <w:p>
            <w:r>
              <w:rPr>
                <w:b/>
              </w:rPr>
              <w:t>Approved-tool list</w:t>
            </w:r>
          </w:p>
        </w:tc>
        <w:tc>
          <w:tcPr>
            <w:tcW w:type="dxa" w:w="3120"/>
          </w:tcPr>
          <w:p>
            <w:r>
              <w:t xml:space="preserve">Only tools on the maintained list </w:t>
            </w:r>
            <w:r>
              <w:rPr>
                <w:rFonts w:ascii="Consolas" w:hAnsi="Consolas"/>
                <w:sz w:val="21"/>
              </w:rPr>
              <w:t>[Appendix A]</w:t>
            </w:r>
            <w:r>
              <w:t xml:space="preserve"> may touch client data; all others are prohibited for client info</w:t>
            </w:r>
          </w:p>
        </w:tc>
        <w:tc>
          <w:tcPr>
            <w:tcW w:type="dxa" w:w="3120"/>
          </w:tcPr>
          <w:p>
            <w:r>
              <w:t>§314.4(c) safeguards; (f) provider oversight</w:t>
            </w:r>
          </w:p>
        </w:tc>
      </w:tr>
      <w:tr>
        <w:tc>
          <w:tcPr>
            <w:tcW w:type="dxa" w:w="3120"/>
          </w:tcPr>
          <w:p>
            <w:r>
              <w:rPr>
                <w:b/>
              </w:rPr>
              <w:t>Risk assessment</w:t>
            </w:r>
          </w:p>
        </w:tc>
        <w:tc>
          <w:tcPr>
            <w:tcW w:type="dxa" w:w="3120"/>
          </w:tcPr>
          <w:p>
            <w:r>
              <w:t>The written risk assessment covers AI prompts, uploads, outputs, embeddings, logs, and vendor access</w:t>
            </w:r>
          </w:p>
        </w:tc>
        <w:tc>
          <w:tcPr>
            <w:tcW w:type="dxa" w:w="3120"/>
          </w:tcPr>
          <w:p>
            <w:r>
              <w:t>§314.4(b)</w:t>
            </w:r>
          </w:p>
        </w:tc>
      </w:tr>
      <w:tr>
        <w:tc>
          <w:tcPr>
            <w:tcW w:type="dxa" w:w="3120"/>
          </w:tcPr>
          <w:p>
            <w:r>
              <w:rPr>
                <w:b/>
              </w:rPr>
              <w:t>Data classification &amp; minimization</w:t>
            </w:r>
          </w:p>
        </w:tc>
        <w:tc>
          <w:tcPr>
            <w:tcW w:type="dxa" w:w="3120"/>
          </w:tcPr>
          <w:p>
            <w:r>
              <w:t xml:space="preserve">Client TRI/PII is entered only where required; default is </w:t>
            </w:r>
            <w:r>
              <w:rPr>
                <w:b/>
              </w:rPr>
              <w:t>anonymize first</w:t>
            </w:r>
            <w:r>
              <w:t xml:space="preserve"> (see redactor) or use an approved tool</w:t>
            </w:r>
          </w:p>
        </w:tc>
        <w:tc>
          <w:tcPr>
            <w:tcW w:type="dxa" w:w="3120"/>
          </w:tcPr>
          <w:p>
            <w:r>
              <w:t>§314.4(c)(1) access; (c) safeguards</w:t>
            </w:r>
          </w:p>
        </w:tc>
      </w:tr>
      <w:tr>
        <w:tc>
          <w:tcPr>
            <w:tcW w:type="dxa" w:w="3120"/>
          </w:tcPr>
          <w:p>
            <w:r>
              <w:rPr>
                <w:b/>
              </w:rPr>
              <w:t>Vendor due diligence + contracts</w:t>
            </w:r>
          </w:p>
        </w:tc>
        <w:tc>
          <w:tcPr>
            <w:tcW w:type="dxa" w:w="3120"/>
          </w:tcPr>
          <w:p>
            <w:r>
              <w:t xml:space="preserve">Each AI vendor cleared via the </w:t>
            </w:r>
            <w:r>
              <w:rPr>
                <w:b/>
              </w:rPr>
              <w:t>Vendor Due-Diligence Checklist</w:t>
            </w:r>
            <w:r>
              <w:t xml:space="preserve"> and bound by a DPA (no-training, retention, subprocessors, breach notice)</w:t>
            </w:r>
          </w:p>
        </w:tc>
        <w:tc>
          <w:tcPr>
            <w:tcW w:type="dxa" w:w="3120"/>
          </w:tcPr>
          <w:p>
            <w:r>
              <w:t>§314.4(f)(1)–(2)</w:t>
            </w:r>
          </w:p>
        </w:tc>
      </w:tr>
      <w:tr>
        <w:tc>
          <w:tcPr>
            <w:tcW w:type="dxa" w:w="3120"/>
          </w:tcPr>
          <w:p>
            <w:r>
              <w:rPr>
                <w:b/>
              </w:rPr>
              <w:t>Encryption</w:t>
            </w:r>
          </w:p>
        </w:tc>
        <w:tc>
          <w:tcPr>
            <w:tcW w:type="dxa" w:w="3120"/>
          </w:tcPr>
          <w:p>
            <w:r>
              <w:t>Customer information is encrypted in transit and at rest with approved tools</w:t>
            </w:r>
          </w:p>
        </w:tc>
        <w:tc>
          <w:tcPr>
            <w:tcW w:type="dxa" w:w="3120"/>
          </w:tcPr>
          <w:p>
            <w:r>
              <w:t>§314.4(c)(3)</w:t>
            </w:r>
          </w:p>
        </w:tc>
      </w:tr>
      <w:tr>
        <w:tc>
          <w:tcPr>
            <w:tcW w:type="dxa" w:w="3120"/>
          </w:tcPr>
          <w:p>
            <w:r>
              <w:rPr>
                <w:b/>
              </w:rPr>
              <w:t>Access controls / MFA</w:t>
            </w:r>
          </w:p>
        </w:tc>
        <w:tc>
          <w:tcPr>
            <w:tcW w:type="dxa" w:w="3120"/>
          </w:tcPr>
          <w:p>
            <w:r>
              <w:t>AI-tool access is limited to authorized personnel with MFA; no shared/personal accounts for client data</w:t>
            </w:r>
          </w:p>
        </w:tc>
        <w:tc>
          <w:tcPr>
            <w:tcW w:type="dxa" w:w="3120"/>
          </w:tcPr>
          <w:p>
            <w:r>
              <w:t>§314.4(c)(1),(5)</w:t>
            </w:r>
          </w:p>
        </w:tc>
      </w:tr>
      <w:tr>
        <w:tc>
          <w:tcPr>
            <w:tcW w:type="dxa" w:w="3120"/>
          </w:tcPr>
          <w:p>
            <w:r>
              <w:rPr>
                <w:b/>
              </w:rPr>
              <w:t>Application assessment</w:t>
            </w:r>
          </w:p>
        </w:tc>
        <w:tc>
          <w:tcPr>
            <w:tcW w:type="dxa" w:w="3120"/>
          </w:tcPr>
          <w:p>
            <w:r>
              <w:t>AI tools that transmit/access customer info are assessed as externally-developed apps</w:t>
            </w:r>
          </w:p>
        </w:tc>
        <w:tc>
          <w:tcPr>
            <w:tcW w:type="dxa" w:w="3120"/>
          </w:tcPr>
          <w:p>
            <w:r>
              <w:t>§314.4(c)(4)</w:t>
            </w:r>
          </w:p>
        </w:tc>
      </w:tr>
      <w:tr>
        <w:tc>
          <w:tcPr>
            <w:tcW w:type="dxa" w:w="3120"/>
          </w:tcPr>
          <w:p>
            <w:r>
              <w:rPr>
                <w:b/>
              </w:rPr>
              <w:t>Logging &amp; monitoring</w:t>
            </w:r>
          </w:p>
        </w:tc>
        <w:tc>
          <w:tcPr>
            <w:tcW w:type="dxa" w:w="3120"/>
          </w:tcPr>
          <w:p>
            <w:r>
              <w:t>AI-tool usage with client data is logged and periodically reviewed</w:t>
            </w:r>
          </w:p>
        </w:tc>
        <w:tc>
          <w:tcPr>
            <w:tcW w:type="dxa" w:w="3120"/>
          </w:tcPr>
          <w:p>
            <w:r>
              <w:t>§314.4(c)(8)</w:t>
            </w:r>
          </w:p>
        </w:tc>
      </w:tr>
      <w:tr>
        <w:tc>
          <w:tcPr>
            <w:tcW w:type="dxa" w:w="3120"/>
          </w:tcPr>
          <w:p>
            <w:r>
              <w:rPr>
                <w:b/>
              </w:rPr>
              <w:t>Retention &amp; disposal</w:t>
            </w:r>
          </w:p>
        </w:tc>
        <w:tc>
          <w:tcPr>
            <w:tcW w:type="dxa" w:w="3120"/>
          </w:tcPr>
          <w:p>
            <w:r>
              <w:t>Prompts/uploads/outputs are retained no longer than needed and securely disposed; vendor ZDR confirmed where used</w:t>
            </w:r>
          </w:p>
        </w:tc>
        <w:tc>
          <w:tcPr>
            <w:tcW w:type="dxa" w:w="3120"/>
          </w:tcPr>
          <w:p>
            <w:r>
              <w:t>§314.4(c)(6)</w:t>
            </w:r>
          </w:p>
        </w:tc>
      </w:tr>
      <w:tr>
        <w:tc>
          <w:tcPr>
            <w:tcW w:type="dxa" w:w="3120"/>
          </w:tcPr>
          <w:p>
            <w:r>
              <w:rPr>
                <w:b/>
              </w:rPr>
              <w:t>Incident response</w:t>
            </w:r>
          </w:p>
        </w:tc>
        <w:tc>
          <w:tcPr>
            <w:tcW w:type="dxa" w:w="3120"/>
          </w:tcPr>
          <w:p>
            <w:r>
              <w:t>A vendor-AI incident (breach, leakage, exposed prompts) is handled under the firm's written IR plan; FTC notification assessed for events ≥500 consumers</w:t>
            </w:r>
          </w:p>
        </w:tc>
        <w:tc>
          <w:tcPr>
            <w:tcW w:type="dxa" w:w="3120"/>
          </w:tcPr>
          <w:p>
            <w:r>
              <w:t>§314.4(h)</w:t>
            </w:r>
          </w:p>
        </w:tc>
      </w:tr>
      <w:tr>
        <w:tc>
          <w:tcPr>
            <w:tcW w:type="dxa" w:w="3120"/>
          </w:tcPr>
          <w:p>
            <w:r>
              <w:rPr>
                <w:b/>
              </w:rPr>
              <w:t>Training</w:t>
            </w:r>
          </w:p>
        </w:tc>
        <w:tc>
          <w:tcPr>
            <w:tcW w:type="dxa" w:w="3120"/>
          </w:tcPr>
          <w:p>
            <w:r>
              <w:t>Staff trained on this appendix: what TRI is, why a prompt can be a disclosure, approved tools, redaction, and reporting accidental exposure</w:t>
            </w:r>
          </w:p>
        </w:tc>
        <w:tc>
          <w:tcPr>
            <w:tcW w:type="dxa" w:w="3120"/>
          </w:tcPr>
          <w:p>
            <w:r>
              <w:t>§314.4(e)</w:t>
            </w:r>
          </w:p>
        </w:tc>
      </w:tr>
      <w:tr>
        <w:tc>
          <w:tcPr>
            <w:tcW w:type="dxa" w:w="3120"/>
          </w:tcPr>
          <w:p>
            <w:r>
              <w:rPr>
                <w:b/>
              </w:rPr>
              <w:t>Periodic reassessment</w:t>
            </w:r>
          </w:p>
        </w:tc>
        <w:tc>
          <w:tcPr>
            <w:tcW w:type="dxa" w:w="3120"/>
          </w:tcPr>
          <w:p>
            <w:r>
              <w:t>AI vendors reassessed on a risk basis; this appendix reviewed annually and on material change</w:t>
            </w:r>
          </w:p>
        </w:tc>
        <w:tc>
          <w:tcPr>
            <w:tcW w:type="dxa" w:w="3120"/>
          </w:tcPr>
          <w:p>
            <w:r>
              <w:t>§314.4(f)(3),(g)</w:t>
            </w:r>
          </w:p>
        </w:tc>
      </w:tr>
    </w:tbl>
    <w:p>
      <w:pPr>
        <w:spacing w:after="40"/>
      </w:pPr>
    </w:p>
    <w:p>
      <w:pPr>
        <w:spacing w:before="240" w:after="80"/>
      </w:pPr>
      <w:r>
        <w:rPr>
          <w:b/>
          <w:color w:val="4C1D95"/>
          <w:sz w:val="26"/>
        </w:rPr>
        <w:t>3. Prohibited without prior approval</w:t>
      </w:r>
    </w:p>
    <w:p>
      <w:pPr>
        <w:pStyle w:val="ListBullet"/>
      </w:pPr>
      <w:r>
        <w:t xml:space="preserve">Entering client-identifiable or return-derived information into a </w:t>
      </w:r>
      <w:r>
        <w:rPr>
          <w:b/>
        </w:rPr>
        <w:t>consumer/personal/free</w:t>
      </w:r>
      <w:r>
        <w:t xml:space="preserve"> AI</w:t>
      </w:r>
    </w:p>
    <w:p>
      <w:pPr>
        <w:spacing w:after="140"/>
      </w:pPr>
      <w:r>
        <w:t xml:space="preserve">  account, or any tool not on the approved list.</w:t>
      </w:r>
    </w:p>
    <w:p>
      <w:pPr>
        <w:pStyle w:val="ListBullet"/>
      </w:pPr>
      <w:r>
        <w:t xml:space="preserve">Any tool with </w:t>
      </w:r>
      <w:r>
        <w:rPr>
          <w:b/>
        </w:rPr>
        <w:t>offshore access</w:t>
      </w:r>
      <w:r>
        <w:t xml:space="preserve"> to client data absent §7216 consent and an adequate-safeguard</w:t>
      </w:r>
    </w:p>
    <w:p>
      <w:pPr>
        <w:spacing w:after="140"/>
      </w:pPr>
      <w:r>
        <w:t xml:space="preserve">  review.</w:t>
      </w:r>
    </w:p>
    <w:p>
      <w:pPr>
        <w:pStyle w:val="ListBullet"/>
      </w:pPr>
      <w:r>
        <w:t xml:space="preserve">Any tool that </w:t>
      </w:r>
      <w:r>
        <w:rPr>
          <w:b/>
        </w:rPr>
        <w:t>trains on / reuses</w:t>
      </w:r>
      <w:r>
        <w:t xml:space="preserve"> firm inputs.</w:t>
      </w:r>
    </w:p>
    <w:p>
      <w:pPr>
        <w:pStyle w:val="ListBullet"/>
      </w:pPr>
      <w:r>
        <w:t xml:space="preserve">Using AI output as the </w:t>
      </w:r>
      <w:r>
        <w:rPr>
          <w:b/>
        </w:rPr>
        <w:t>final substantive tax determination</w:t>
      </w:r>
      <w:r>
        <w:t xml:space="preserve"> without CPA review.</w:t>
      </w:r>
    </w:p>
    <w:p>
      <w:pPr>
        <w:spacing w:before="240" w:after="80"/>
      </w:pPr>
      <w:r>
        <w:rPr>
          <w:b/>
          <w:color w:val="4C1D95"/>
          <w:sz w:val="26"/>
        </w:rPr>
        <w:t>4. Roles</w:t>
      </w:r>
    </w:p>
    <w:p>
      <w:pPr>
        <w:pStyle w:val="ListBullet"/>
      </w:pPr>
      <w:r>
        <w:rPr>
          <w:b/>
        </w:rPr>
        <w:t>Qualified Individual `[NAME]`</w:t>
      </w:r>
      <w:r>
        <w:t xml:space="preserve"> owns this appendix, the approved-tool list, vendor reviews, and</w:t>
      </w:r>
    </w:p>
    <w:p>
      <w:pPr>
        <w:spacing w:after="140"/>
      </w:pPr>
      <w:r>
        <w:t xml:space="preserve">  the annual report.</w:t>
      </w:r>
    </w:p>
    <w:p>
      <w:pPr>
        <w:pStyle w:val="ListBullet"/>
      </w:pPr>
      <w:r>
        <w:t>All personnel comply with the AI Acceptable-Use Policy.</w:t>
      </w:r>
    </w:p>
    <w:p>
      <w:r>
        <w:t>—</w:t>
      </w:r>
    </w:p>
    <w:p>
      <w:pPr>
        <w:spacing w:before="160"/>
      </w:pPr>
      <w:r>
        <w:rPr>
          <w:i/>
          <w:color w:val="666666"/>
          <w:sz w:val="19"/>
        </w:rPr>
        <w:t>Template provided by The AI Lab for Accountants as an educational starting point. Not legal, tax, or compliance advice. Using it does not by itself make your firm compliant with any law, regulation, or professional standard; that depends on how your firm adapts, implements, and maintains it. Laws and standards change and vary by jurisdiction. Adapt it to your firm and have your own counsel review it before relying on it.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