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A104F"/>
          <w:sz w:val="40"/>
        </w:rPr>
        <w:t>AI Vendor Due-Diligence Checklist</w:t>
      </w:r>
    </w:p>
    <w:p>
      <w:pPr>
        <w:spacing w:before="120" w:after="200"/>
        <w:ind w:left="144"/>
        <w:shd w:val="clear" w:fill="F4EFFF"/>
      </w:pPr>
      <w:r>
        <w:rPr>
          <w:b/>
        </w:rPr>
        <w:t xml:space="preserve">Make it yours. </w:t>
      </w:r>
      <w:r>
        <w:t>Replace [FIRM NAME] and every bracketed item with your firm's details, delete what does not apply, and add what your situation requires. Once you adapt it, this is your firm's document. This is a generic starting point, not legal advice; have your own counsel review it before adopting.</w:t>
      </w:r>
    </w:p>
    <w:p>
      <w:pPr>
        <w:spacing w:before="120" w:after="200"/>
        <w:ind w:left="144"/>
        <w:shd w:val="clear" w:fill="FBF4DF"/>
      </w:pPr>
      <w:r>
        <w:rPr>
          <w:b/>
        </w:rPr>
        <w:t>What this is.</w:t>
      </w:r>
      <w:r>
        <w:t xml:space="preserve"> The questions to clear </w:t>
      </w:r>
      <w:r>
        <w:rPr>
          <w:b/>
        </w:rPr>
        <w:t>before</w:t>
      </w:r>
      <w:r>
        <w:t xml:space="preserve"> routing any client data to an AI tool. It satisfies the FTC Safeguards Rule's service-provider selection/oversight duty (§314.4(f)) and the AICPA duty to evaluate a provider (ET §1.300.040), and it gives you the written record an examiner expects. Run it once per tool; re-run on material change or annually. Grounded in Regulatory Foundation §1–§3. </w:t>
      </w:r>
      <w:r>
        <w:rPr>
          <w:b/>
        </w:rPr>
        <w:t>Not legal advice.</w:t>
      </w:r>
    </w:p>
    <w:p>
      <w:pPr>
        <w:spacing w:after="140"/>
      </w:pPr>
      <w:r>
        <w:rPr>
          <w:b/>
        </w:rPr>
        <w:t>Tool:</w:t>
      </w:r>
      <w:r>
        <w:t xml:space="preserve"> </w:t>
      </w:r>
      <w:r>
        <w:rPr>
          <w:rFonts w:ascii="Consolas" w:hAnsi="Consolas"/>
          <w:sz w:val="21"/>
        </w:rPr>
        <w:t>[NAME / VENDOR]</w:t>
      </w:r>
      <w:r>
        <w:t xml:space="preserve">  ·  </w:t>
      </w:r>
      <w:r>
        <w:rPr>
          <w:b/>
        </w:rPr>
        <w:t>Reviewed by:</w:t>
      </w:r>
      <w:r>
        <w:t xml:space="preserve"> </w:t>
      </w:r>
      <w:r>
        <w:rPr>
          <w:rFonts w:ascii="Consolas" w:hAnsi="Consolas"/>
          <w:sz w:val="21"/>
        </w:rPr>
        <w:t>[QUALIFIED INDIVIDUAL]</w:t>
      </w:r>
      <w:r>
        <w:t xml:space="preserve">  ·  </w:t>
      </w:r>
      <w:r>
        <w:rPr>
          <w:b/>
        </w:rPr>
        <w:t>Date:</w:t>
      </w:r>
      <w:r>
        <w:t xml:space="preserve"> </w:t>
      </w:r>
      <w:r>
        <w:rPr>
          <w:rFonts w:ascii="Consolas" w:hAnsi="Consolas"/>
          <w:sz w:val="21"/>
        </w:rPr>
        <w:t>[DATE]</w:t>
      </w:r>
      <w:r>
        <w:t xml:space="preserve"> </w:t>
      </w:r>
      <w:r>
        <w:rPr>
          <w:b/>
        </w:rPr>
        <w:t>Intended use:</w:t>
      </w:r>
      <w:r>
        <w:t xml:space="preserve"> </w:t>
      </w:r>
      <w:r>
        <w:rPr>
          <w:rFonts w:ascii="Consolas" w:hAnsi="Consolas"/>
          <w:sz w:val="21"/>
        </w:rPr>
        <w:t>[e.g., OCR of source docs / summarizing / tax research]</w:t>
      </w:r>
    </w:p>
    <w:p>
      <w:pPr>
        <w:spacing w:before="240" w:after="80"/>
      </w:pPr>
      <w:r>
        <w:rPr>
          <w:b/>
          <w:color w:val="4C1D95"/>
          <w:sz w:val="26"/>
        </w:rPr>
        <w:t>Step 1, The four gating questions (must all clear for client TRI)</w:t>
      </w:r>
    </w:p>
    <w:p>
      <w:pPr>
        <w:spacing w:after="140"/>
      </w:pPr>
      <w:r>
        <w:t xml:space="preserve">Get these in </w:t>
      </w:r>
      <w:r>
        <w:rPr>
          <w:b/>
        </w:rPr>
        <w:t>writing</w:t>
      </w:r>
      <w:r>
        <w:t xml:space="preserve"> from the vendor (terms, DPA, or security page):</w:t>
      </w:r>
    </w:p>
    <w:p>
      <w:pPr>
        <w:spacing w:after="40"/>
        <w:ind w:left="360"/>
      </w:pPr>
      <w:r>
        <w:t xml:space="preserve">☐ </w:t>
      </w:r>
      <w:r>
        <w:rPr>
          <w:b/>
        </w:rPr>
        <w:t>1. No training.</w:t>
      </w:r>
      <w:r>
        <w:t xml:space="preserve"> The vendor does </w:t>
      </w:r>
      <w:r>
        <w:rPr>
          <w:b/>
        </w:rPr>
        <w:t>not</w:t>
      </w:r>
      <w:r>
        <w:t xml:space="preserve"> train, fine-tune, or improve models on our</w:t>
      </w:r>
    </w:p>
    <w:p>
      <w:pPr>
        <w:spacing w:after="140"/>
      </w:pPr>
      <w:r>
        <w:t xml:space="preserve">      prompts, files, outputs, embeddings, or feedback.</w:t>
      </w:r>
    </w:p>
    <w:p>
      <w:pPr>
        <w:spacing w:after="40"/>
        <w:ind w:left="360"/>
      </w:pPr>
      <w:r>
        <w:t xml:space="preserve">☐ </w:t>
      </w:r>
      <w:r>
        <w:rPr>
          <w:b/>
        </w:rPr>
        <w:t>2. Retention.</w:t>
      </w:r>
      <w:r>
        <w:t xml:space="preserve"> There is </w:t>
      </w:r>
      <w:r>
        <w:rPr>
          <w:b/>
        </w:rPr>
        <w:t>true zero/minimal retention for the specific features we use</w:t>
      </w:r>
    </w:p>
    <w:p>
      <w:pPr>
        <w:spacing w:after="140"/>
      </w:pPr>
      <w:r>
        <w:t xml:space="preserve">      (not a blanket marketing line), confirm per endpoint (files, threads, assistants, vector       stores, project memory can retain state even when "ZDR" is on).</w:t>
      </w:r>
    </w:p>
    <w:p>
      <w:pPr>
        <w:spacing w:after="40"/>
        <w:ind w:left="360"/>
      </w:pPr>
      <w:r>
        <w:t xml:space="preserve">☐ </w:t>
      </w:r>
      <w:r>
        <w:rPr>
          <w:b/>
        </w:rPr>
        <w:t>3. U.S.-only access.</w:t>
      </w:r>
      <w:r>
        <w:t xml:space="preserve"> Processing </w:t>
      </w:r>
      <w:r>
        <w:rPr>
          <w:b/>
        </w:rPr>
        <w:t>and human access</w:t>
      </w:r>
      <w:r>
        <w:t xml:space="preserve"> (support, subprocessors, model</w:t>
      </w:r>
    </w:p>
    <w:p>
      <w:pPr>
        <w:spacing w:after="140"/>
      </w:pPr>
      <w:r>
        <w:t xml:space="preserve">      monitoring) stay in the United States, absent a §7216 consent. </w:t>
      </w:r>
      <w:r>
        <w:rPr>
          <w:i/>
        </w:rPr>
        <w:t>(Offshore access = consent       required; SSNs generally can't be consented offshore.)</w:t>
      </w:r>
    </w:p>
    <w:p>
      <w:pPr>
        <w:spacing w:after="40"/>
        <w:ind w:left="360"/>
      </w:pPr>
      <w:r>
        <w:t xml:space="preserve">☐ </w:t>
      </w:r>
      <w:r>
        <w:rPr>
          <w:b/>
        </w:rPr>
        <w:t>4. Confidentiality agreement.</w:t>
      </w:r>
      <w:r>
        <w:t xml:space="preserve"> The vendor will sign a </w:t>
      </w:r>
      <w:r>
        <w:rPr>
          <w:b/>
        </w:rPr>
        <w:t>DPA/confidentiality agreement</w:t>
      </w:r>
    </w:p>
    <w:p>
      <w:pPr>
        <w:spacing w:after="140"/>
      </w:pPr>
      <w:r>
        <w:t xml:space="preserve">      appropriate to taxpayer information and </w:t>
      </w:r>
      <w:r>
        <w:rPr>
          <w:b/>
        </w:rPr>
        <w:t>discloses its subprocessors.</w:t>
      </w:r>
    </w:p>
    <w:p>
      <w:pPr>
        <w:spacing w:before="120" w:after="200"/>
        <w:ind w:left="144"/>
        <w:shd w:val="clear" w:fill="FBF4DF"/>
      </w:pPr>
      <w:r>
        <w:rPr>
          <w:b/>
        </w:rPr>
        <w:t>If any of the four can't be confirmed → do not enter client-identifiable or return-derived data. Anonymize instead</w:t>
      </w:r>
      <w:r>
        <w:t xml:space="preserve"> (see redactor), or keep it out.</w:t>
      </w:r>
    </w:p>
    <w:p>
      <w:pPr>
        <w:spacing w:before="240" w:after="80"/>
      </w:pPr>
      <w:r>
        <w:rPr>
          <w:b/>
          <w:color w:val="4C1D95"/>
          <w:sz w:val="26"/>
        </w:rPr>
        <w:t>Step 2, Full diligence record (the 10 points)</w:t>
      </w:r>
    </w:p>
    <w:p>
      <w:pPr>
        <w:spacing w:after="40"/>
        <w:ind w:left="360"/>
      </w:pPr>
      <w:r>
        <w:t xml:space="preserve">☐ </w:t>
      </w:r>
      <w:r>
        <w:t xml:space="preserve">(1) No model training/improvement on our data </w:t>
      </w:r>
      <w:r>
        <w:rPr>
          <w:i/>
        </w:rPr>
        <w:t>(= Q1)</w:t>
      </w:r>
    </w:p>
    <w:p>
      <w:pPr>
        <w:spacing w:after="40"/>
        <w:ind w:left="360"/>
      </w:pPr>
      <w:r>
        <w:t xml:space="preserve">☐ </w:t>
      </w:r>
      <w:r>
        <w:t xml:space="preserve">(2) True ZDR for the specific endpoints/features used </w:t>
      </w:r>
      <w:r>
        <w:rPr>
          <w:i/>
        </w:rPr>
        <w:t>(= Q2)</w:t>
      </w:r>
    </w:p>
    <w:p>
      <w:pPr>
        <w:spacing w:after="40"/>
        <w:ind w:left="360"/>
      </w:pPr>
      <w:r>
        <w:t xml:space="preserve">☐ </w:t>
      </w:r>
      <w:r>
        <w:t>(3) No persistent application state unless necessary and approved</w:t>
      </w:r>
    </w:p>
    <w:p>
      <w:pPr>
        <w:spacing w:after="40"/>
        <w:ind w:left="360"/>
      </w:pPr>
      <w:r>
        <w:t xml:space="preserve">☐ </w:t>
      </w:r>
      <w:r>
        <w:t xml:space="preserve">(4) U.S.-only processing/access absent §7216 consent </w:t>
      </w:r>
      <w:r>
        <w:rPr>
          <w:i/>
        </w:rPr>
        <w:t>(= Q3)</w:t>
      </w:r>
    </w:p>
    <w:p>
      <w:pPr>
        <w:spacing w:after="40"/>
        <w:ind w:left="360"/>
      </w:pPr>
      <w:r>
        <w:t xml:space="preserve">☐ </w:t>
      </w:r>
      <w:r>
        <w:t>(5) No third-party/downstream tool calls with our data unless each is separately vetted</w:t>
      </w:r>
    </w:p>
    <w:p>
      <w:pPr>
        <w:spacing w:after="40"/>
        <w:ind w:left="360"/>
      </w:pPr>
      <w:r>
        <w:t xml:space="preserve">☐ </w:t>
      </w:r>
      <w:r>
        <w:t xml:space="preserve">(6) Confidentiality + subprocessor terms appropriate to TRI </w:t>
      </w:r>
      <w:r>
        <w:rPr>
          <w:i/>
        </w:rPr>
        <w:t>(= Q4)</w:t>
      </w:r>
    </w:p>
    <w:p>
      <w:pPr>
        <w:spacing w:after="40"/>
        <w:ind w:left="360"/>
      </w:pPr>
      <w:r>
        <w:t xml:space="preserve">☐ </w:t>
      </w:r>
      <w:r>
        <w:t>(7) Vendor human-access restrictions</w:t>
      </w:r>
    </w:p>
    <w:p>
      <w:pPr>
        <w:spacing w:after="40"/>
        <w:ind w:left="360"/>
      </w:pPr>
      <w:r>
        <w:t xml:space="preserve">☐ </w:t>
      </w:r>
      <w:r>
        <w:t>(8) §7216/§6713 contractor-notice mechanics where vendor access is possible</w:t>
      </w:r>
    </w:p>
    <w:p>
      <w:pPr>
        <w:spacing w:after="40"/>
        <w:ind w:left="360"/>
      </w:pPr>
      <w:r>
        <w:t xml:space="preserve">☐ </w:t>
      </w:r>
      <w:r>
        <w:t xml:space="preserve">(9) Use limitation, data used </w:t>
      </w:r>
      <w:r>
        <w:rPr>
          <w:b/>
        </w:rPr>
        <w:t>only</w:t>
      </w:r>
      <w:r>
        <w:t xml:space="preserve"> to provide the service to the firm</w:t>
      </w:r>
    </w:p>
    <w:p>
      <w:pPr>
        <w:spacing w:after="40"/>
        <w:ind w:left="360"/>
      </w:pPr>
      <w:r>
        <w:t xml:space="preserve">☐ </w:t>
      </w:r>
      <w:r>
        <w:t xml:space="preserve">(10) CPA final review, AI output is </w:t>
      </w:r>
      <w:r>
        <w:rPr>
          <w:b/>
        </w:rPr>
        <w:t>never</w:t>
      </w:r>
      <w:r>
        <w:t xml:space="preserve"> the final substantive tax determination</w:t>
      </w:r>
    </w:p>
    <w:p>
      <w:pPr>
        <w:spacing w:before="240" w:after="80"/>
      </w:pPr>
      <w:r>
        <w:rPr>
          <w:b/>
          <w:color w:val="4C1D95"/>
          <w:sz w:val="26"/>
        </w:rPr>
        <w:t>Step 3, Security baseline</w:t>
      </w:r>
    </w:p>
    <w:p>
      <w:pPr>
        <w:spacing w:after="40"/>
        <w:ind w:left="360"/>
      </w:pPr>
      <w:r>
        <w:t xml:space="preserve">☐ </w:t>
      </w:r>
      <w:r>
        <w:t xml:space="preserve">Encryption in transit </w:t>
      </w:r>
      <w:r>
        <w:rPr>
          <w:b/>
        </w:rPr>
        <w:t>and</w:t>
      </w:r>
      <w:r>
        <w:t xml:space="preserve"> at rest</w:t>
      </w:r>
    </w:p>
    <w:p>
      <w:pPr>
        <w:spacing w:after="40"/>
        <w:ind w:left="360"/>
      </w:pPr>
      <w:r>
        <w:t xml:space="preserve">☐ </w:t>
      </w:r>
      <w:r>
        <w:t>MFA + access controls; no shared/personal accounts for client data</w:t>
      </w:r>
    </w:p>
    <w:p>
      <w:pPr>
        <w:spacing w:after="40"/>
        <w:ind w:left="360"/>
      </w:pPr>
      <w:r>
        <w:t xml:space="preserve">☐ </w:t>
      </w:r>
      <w:r>
        <w:t xml:space="preserve">SOC 2 Type II (or equivalent) reviewed </w:t>
      </w:r>
      <w:r>
        <w:rPr>
          <w:i/>
        </w:rPr>
        <w:t>(⚠️ SOC 2 ≠ a no-training term and ≠ a §7216 basis, it's one input, not the answer)</w:t>
      </w:r>
    </w:p>
    <w:p>
      <w:pPr>
        <w:spacing w:after="40"/>
        <w:ind w:left="360"/>
      </w:pPr>
      <w:r>
        <w:t xml:space="preserve">☐ </w:t>
      </w:r>
      <w:r>
        <w:t>Logging, vulnerability management, documented incident response + breach notification</w:t>
      </w:r>
    </w:p>
    <w:p>
      <w:pPr>
        <w:spacing w:before="240" w:after="80"/>
      </w:pPr>
      <w:r>
        <w:rPr>
          <w:b/>
          <w:color w:val="4C1D95"/>
          <w:sz w:val="26"/>
        </w:rPr>
        <w:t>Step 4, Decision</w:t>
      </w:r>
    </w:p>
    <w:p>
      <w:pPr>
        <w:spacing w:after="40"/>
        <w:ind w:left="360"/>
      </w:pPr>
      <w:r>
        <w:t xml:space="preserve">☐ </w:t>
      </w:r>
      <w:r>
        <w:rPr>
          <w:b/>
        </w:rPr>
        <w:t>🟢 Approved</w:t>
      </w:r>
      <w:r>
        <w:t xml:space="preserve"> for </w:t>
      </w:r>
      <w:r>
        <w:rPr>
          <w:rFonts w:ascii="Consolas" w:hAnsi="Consolas"/>
          <w:sz w:val="21"/>
        </w:rPr>
        <w:t>[use case]</w:t>
      </w:r>
      <w:r>
        <w:t>, add to the WISP approved-tool list, file this record.</w:t>
      </w:r>
    </w:p>
    <w:p>
      <w:pPr>
        <w:spacing w:after="40"/>
        <w:ind w:left="360"/>
      </w:pPr>
      <w:r>
        <w:t xml:space="preserve">☐ </w:t>
      </w:r>
      <w:r>
        <w:rPr>
          <w:b/>
        </w:rPr>
        <w:t>🟡 Conditional</w:t>
      </w:r>
      <w:r>
        <w:t xml:space="preserve">, approved only for </w:t>
      </w:r>
      <w:r>
        <w:rPr>
          <w:rFonts w:ascii="Consolas" w:hAnsi="Consolas"/>
          <w:sz w:val="21"/>
        </w:rPr>
        <w:t>[anonymized / non-substantive / specific]</w:t>
      </w:r>
      <w:r>
        <w:t xml:space="preserve"> use; conditions: </w:t>
      </w:r>
      <w:r>
        <w:rPr>
          <w:rFonts w:ascii="Consolas" w:hAnsi="Consolas"/>
          <w:sz w:val="21"/>
        </w:rPr>
        <w:t>[…]</w:t>
      </w:r>
    </w:p>
    <w:p>
      <w:pPr>
        <w:spacing w:after="40"/>
        <w:ind w:left="360"/>
      </w:pPr>
      <w:r>
        <w:t xml:space="preserve">☐ </w:t>
      </w:r>
      <w:r>
        <w:rPr>
          <w:b/>
        </w:rPr>
        <w:t>🔴 Rejected</w:t>
      </w:r>
      <w:r>
        <w:t xml:space="preserve"> for client data, reason: </w:t>
      </w:r>
      <w:r>
        <w:rPr>
          <w:rFonts w:ascii="Consolas" w:hAnsi="Consolas"/>
          <w:sz w:val="21"/>
        </w:rPr>
        <w:t>[…]</w:t>
      </w:r>
      <w:r>
        <w:t>. Permitted only with anonymized/synthetic input.</w:t>
      </w:r>
    </w:p>
    <w:p>
      <w:pPr>
        <w:spacing w:after="140"/>
      </w:pPr>
      <w:r>
        <w:rPr>
          <w:b/>
        </w:rPr>
        <w:t>Signed (Qualified Individual):</w:t>
      </w:r>
      <w:r>
        <w:t xml:space="preserve"> </w:t>
      </w:r>
      <w:r>
        <w:rPr>
          <w:rFonts w:ascii="Consolas" w:hAnsi="Consolas"/>
          <w:sz w:val="21"/>
        </w:rPr>
        <w:t>[NAME]</w:t>
      </w:r>
      <w:r>
        <w:t xml:space="preserve">  ·  </w:t>
      </w:r>
      <w:r>
        <w:rPr>
          <w:b/>
        </w:rPr>
        <w:t>Re-review due:</w:t>
      </w:r>
      <w:r>
        <w:t xml:space="preserve"> </w:t>
      </w:r>
      <w:r>
        <w:rPr>
          <w:rFonts w:ascii="Consolas" w:hAnsi="Consolas"/>
          <w:sz w:val="21"/>
        </w:rPr>
        <w:t>[DATE]</w:t>
      </w:r>
    </w:p>
    <w:p>
      <w:r>
        <w:t>—</w:t>
      </w:r>
    </w:p>
    <w:p>
      <w:pPr>
        <w:spacing w:before="160"/>
      </w:pPr>
      <w:r>
        <w:rPr>
          <w:i/>
          <w:color w:val="666666"/>
          <w:sz w:val="19"/>
        </w:rPr>
        <w:t>Template provided by The AI Lab for Accountants as an educational starting point. Not legal, tax, or compliance advice. Using it does not by itself make your firm compliant with any law, regulation, or professional standard; that depends on how your firm adapts, implements, and maintains it. Laws and standards change and vary by jurisdiction. Adapt it to your firm and have your own counsel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